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58CBF" w14:textId="77777777" w:rsidR="001E7DBD" w:rsidRDefault="001E7DBD">
      <w:pPr>
        <w:spacing w:after="0" w:line="240" w:lineRule="auto"/>
        <w:jc w:val="center"/>
        <w:rPr>
          <w:rFonts w:ascii="Tahoma" w:eastAsia="Tahoma" w:hAnsi="Tahoma" w:cs="Tahoma"/>
          <w:b/>
          <w:sz w:val="28"/>
          <w:szCs w:val="28"/>
        </w:rPr>
      </w:pPr>
    </w:p>
    <w:p w14:paraId="7EB55C7E" w14:textId="77777777" w:rsidR="001E7DBD" w:rsidRDefault="001E7DBD">
      <w:pPr>
        <w:spacing w:after="0" w:line="240" w:lineRule="auto"/>
        <w:jc w:val="center"/>
        <w:rPr>
          <w:rFonts w:ascii="Tahoma" w:eastAsia="Tahoma" w:hAnsi="Tahoma" w:cs="Tahoma"/>
          <w:b/>
          <w:sz w:val="28"/>
          <w:szCs w:val="28"/>
        </w:rPr>
      </w:pPr>
    </w:p>
    <w:p w14:paraId="0EAA3733" w14:textId="77777777" w:rsidR="001E7DBD" w:rsidRDefault="00000000">
      <w:pPr>
        <w:spacing w:after="0" w:line="240" w:lineRule="auto"/>
        <w:jc w:val="center"/>
        <w:rPr>
          <w:rFonts w:ascii="Tahoma" w:eastAsia="Tahoma" w:hAnsi="Tahoma" w:cs="Tahoma"/>
          <w:b/>
          <w:sz w:val="28"/>
          <w:szCs w:val="28"/>
        </w:rPr>
      </w:pPr>
      <w:r>
        <w:rPr>
          <w:rFonts w:ascii="Tahoma" w:eastAsia="Tahoma" w:hAnsi="Tahoma" w:cs="Tahoma"/>
          <w:b/>
          <w:sz w:val="28"/>
          <w:szCs w:val="28"/>
        </w:rPr>
        <w:t>BOARD RISK OVERSIGHT COMMITTEE CHARTER</w:t>
      </w:r>
    </w:p>
    <w:p w14:paraId="331468E2" w14:textId="77777777" w:rsidR="001E7DBD" w:rsidRDefault="001E7DBD">
      <w:pPr>
        <w:spacing w:after="0" w:line="240" w:lineRule="auto"/>
        <w:rPr>
          <w:rFonts w:ascii="Tahoma" w:eastAsia="Tahoma" w:hAnsi="Tahoma" w:cs="Tahoma"/>
          <w:b/>
        </w:rPr>
      </w:pPr>
    </w:p>
    <w:p w14:paraId="31087946" w14:textId="77777777" w:rsidR="001E7DBD" w:rsidRDefault="00000000">
      <w:pPr>
        <w:numPr>
          <w:ilvl w:val="0"/>
          <w:numId w:val="1"/>
        </w:numPr>
        <w:pBdr>
          <w:top w:val="nil"/>
          <w:left w:val="nil"/>
          <w:bottom w:val="nil"/>
          <w:right w:val="nil"/>
          <w:between w:val="nil"/>
        </w:pBdr>
        <w:spacing w:after="0" w:line="240" w:lineRule="auto"/>
        <w:rPr>
          <w:rFonts w:ascii="Tahoma" w:eastAsia="Tahoma" w:hAnsi="Tahoma" w:cs="Tahoma"/>
          <w:b/>
          <w:color w:val="000000"/>
        </w:rPr>
      </w:pPr>
      <w:r>
        <w:rPr>
          <w:rFonts w:ascii="Tahoma" w:eastAsia="Tahoma" w:hAnsi="Tahoma" w:cs="Tahoma"/>
          <w:b/>
          <w:color w:val="000000"/>
        </w:rPr>
        <w:t>Purpose</w:t>
      </w:r>
    </w:p>
    <w:p w14:paraId="2D213DBC" w14:textId="77777777" w:rsidR="001E7DBD" w:rsidRDefault="001E7DBD">
      <w:pPr>
        <w:pBdr>
          <w:top w:val="nil"/>
          <w:left w:val="nil"/>
          <w:bottom w:val="nil"/>
          <w:right w:val="nil"/>
          <w:between w:val="nil"/>
        </w:pBdr>
        <w:spacing w:after="0" w:line="240" w:lineRule="auto"/>
        <w:ind w:left="720"/>
        <w:rPr>
          <w:rFonts w:ascii="Tahoma" w:eastAsia="Tahoma" w:hAnsi="Tahoma" w:cs="Tahoma"/>
          <w:b/>
          <w:color w:val="000000"/>
        </w:rPr>
      </w:pPr>
    </w:p>
    <w:p w14:paraId="6F4A1DD3" w14:textId="1CAF07D3" w:rsidR="001E7DBD" w:rsidRDefault="00000000">
      <w:pPr>
        <w:spacing w:after="0" w:line="240" w:lineRule="auto"/>
        <w:ind w:left="709"/>
        <w:rPr>
          <w:rFonts w:ascii="Arial" w:eastAsia="Arial" w:hAnsi="Arial" w:cs="Arial"/>
        </w:rPr>
      </w:pPr>
      <w:r>
        <w:rPr>
          <w:rFonts w:ascii="Arial" w:eastAsia="Arial" w:hAnsi="Arial" w:cs="Arial"/>
        </w:rPr>
        <w:t>The Board Risk Oversight Committee (BROC) shall be responsible for the oversight of the Company’s Enterprise Risk Management system to ensure its functionality and effectiveness.</w:t>
      </w:r>
    </w:p>
    <w:p w14:paraId="01CBEF91" w14:textId="77777777" w:rsidR="006F0EDD" w:rsidRDefault="006F0EDD">
      <w:pPr>
        <w:spacing w:after="0" w:line="240" w:lineRule="auto"/>
        <w:ind w:left="709"/>
        <w:rPr>
          <w:rFonts w:ascii="Tahoma" w:eastAsia="Tahoma" w:hAnsi="Tahoma" w:cs="Tahoma"/>
        </w:rPr>
      </w:pPr>
    </w:p>
    <w:p w14:paraId="09672144" w14:textId="77777777" w:rsidR="001E7DBD" w:rsidRDefault="00000000">
      <w:pPr>
        <w:numPr>
          <w:ilvl w:val="0"/>
          <w:numId w:val="1"/>
        </w:numPr>
        <w:pBdr>
          <w:top w:val="nil"/>
          <w:left w:val="nil"/>
          <w:bottom w:val="nil"/>
          <w:right w:val="nil"/>
          <w:between w:val="nil"/>
        </w:pBdr>
        <w:spacing w:after="0" w:line="240" w:lineRule="auto"/>
        <w:rPr>
          <w:rFonts w:ascii="Tahoma" w:eastAsia="Tahoma" w:hAnsi="Tahoma" w:cs="Tahoma"/>
          <w:b/>
          <w:color w:val="000000"/>
        </w:rPr>
      </w:pPr>
      <w:r>
        <w:rPr>
          <w:rFonts w:ascii="Tahoma" w:eastAsia="Tahoma" w:hAnsi="Tahoma" w:cs="Tahoma"/>
          <w:b/>
          <w:color w:val="000000"/>
        </w:rPr>
        <w:t>Membership</w:t>
      </w:r>
    </w:p>
    <w:p w14:paraId="5473D9AF" w14:textId="77777777" w:rsidR="001E7DBD" w:rsidRDefault="001E7DBD">
      <w:pPr>
        <w:spacing w:after="0" w:line="240" w:lineRule="auto"/>
        <w:rPr>
          <w:rFonts w:ascii="Tahoma" w:eastAsia="Tahoma" w:hAnsi="Tahoma" w:cs="Tahoma"/>
        </w:rPr>
      </w:pPr>
    </w:p>
    <w:p w14:paraId="7B730050" w14:textId="77777777" w:rsidR="001E7DBD" w:rsidRDefault="00000000">
      <w:pPr>
        <w:pBdr>
          <w:top w:val="nil"/>
          <w:left w:val="nil"/>
          <w:bottom w:val="nil"/>
          <w:right w:val="nil"/>
          <w:between w:val="nil"/>
        </w:pBdr>
        <w:spacing w:after="0" w:line="240" w:lineRule="auto"/>
        <w:ind w:left="720"/>
        <w:rPr>
          <w:rFonts w:ascii="Tahoma" w:eastAsia="Tahoma" w:hAnsi="Tahoma" w:cs="Tahoma"/>
          <w:color w:val="000000"/>
        </w:rPr>
      </w:pPr>
      <w:r>
        <w:rPr>
          <w:rFonts w:ascii="Tahoma" w:eastAsia="Tahoma" w:hAnsi="Tahoma" w:cs="Tahoma"/>
          <w:color w:val="000000"/>
        </w:rPr>
        <w:t xml:space="preserve">The Committee shall be composed of at least three (3) directors, the majority of whom, including the Chairman, shall be independent. </w:t>
      </w:r>
    </w:p>
    <w:p w14:paraId="05DFF2EE" w14:textId="77777777" w:rsidR="001E7DBD" w:rsidRDefault="001E7DBD">
      <w:pPr>
        <w:spacing w:after="0" w:line="240" w:lineRule="auto"/>
        <w:rPr>
          <w:rFonts w:ascii="Tahoma" w:eastAsia="Tahoma" w:hAnsi="Tahoma" w:cs="Tahoma"/>
        </w:rPr>
      </w:pPr>
    </w:p>
    <w:p w14:paraId="7B773D4B" w14:textId="77777777" w:rsidR="001E7DBD" w:rsidRDefault="00000000">
      <w:pPr>
        <w:pBdr>
          <w:top w:val="nil"/>
          <w:left w:val="nil"/>
          <w:bottom w:val="nil"/>
          <w:right w:val="nil"/>
          <w:between w:val="nil"/>
        </w:pBdr>
        <w:spacing w:after="0" w:line="240" w:lineRule="auto"/>
        <w:ind w:left="720"/>
        <w:rPr>
          <w:rFonts w:ascii="Tahoma" w:eastAsia="Tahoma" w:hAnsi="Tahoma" w:cs="Tahoma"/>
          <w:color w:val="000000"/>
        </w:rPr>
      </w:pPr>
      <w:r>
        <w:rPr>
          <w:rFonts w:ascii="Tahoma" w:eastAsia="Tahoma" w:hAnsi="Tahoma" w:cs="Tahoma"/>
          <w:color w:val="000000"/>
        </w:rPr>
        <w:t>In accordance with this, the members of the Committee may be removed or replaced, and any vacancies in the Committee shall be filled by the Board. Each member shall have adequate and competent knowledge of the Company’s business and industry in which it operates.</w:t>
      </w:r>
    </w:p>
    <w:p w14:paraId="2877663A" w14:textId="77777777" w:rsidR="001E7DBD" w:rsidRDefault="001E7DBD">
      <w:pPr>
        <w:spacing w:after="0" w:line="240" w:lineRule="auto"/>
        <w:rPr>
          <w:rFonts w:ascii="Tahoma" w:eastAsia="Tahoma" w:hAnsi="Tahoma" w:cs="Tahoma"/>
        </w:rPr>
      </w:pPr>
    </w:p>
    <w:p w14:paraId="07997BD7" w14:textId="77777777" w:rsidR="001E7DBD" w:rsidRDefault="00000000">
      <w:pPr>
        <w:numPr>
          <w:ilvl w:val="0"/>
          <w:numId w:val="1"/>
        </w:numPr>
        <w:pBdr>
          <w:top w:val="nil"/>
          <w:left w:val="nil"/>
          <w:bottom w:val="nil"/>
          <w:right w:val="nil"/>
          <w:between w:val="nil"/>
        </w:pBdr>
        <w:spacing w:after="0" w:line="240" w:lineRule="auto"/>
        <w:rPr>
          <w:rFonts w:ascii="Tahoma" w:eastAsia="Tahoma" w:hAnsi="Tahoma" w:cs="Tahoma"/>
          <w:b/>
          <w:color w:val="000000"/>
        </w:rPr>
      </w:pPr>
      <w:r>
        <w:rPr>
          <w:rFonts w:ascii="Tahoma" w:eastAsia="Tahoma" w:hAnsi="Tahoma" w:cs="Tahoma"/>
          <w:b/>
          <w:color w:val="000000"/>
        </w:rPr>
        <w:t>Frequency of Meetings</w:t>
      </w:r>
    </w:p>
    <w:p w14:paraId="2630A67F" w14:textId="77777777" w:rsidR="001E7DBD" w:rsidRDefault="001E7DBD">
      <w:pPr>
        <w:spacing w:after="0" w:line="240" w:lineRule="auto"/>
        <w:rPr>
          <w:rFonts w:ascii="Tahoma" w:eastAsia="Tahoma" w:hAnsi="Tahoma" w:cs="Tahoma"/>
        </w:rPr>
      </w:pPr>
    </w:p>
    <w:p w14:paraId="3370233D" w14:textId="77777777" w:rsidR="001E7DBD" w:rsidRDefault="00000000">
      <w:pPr>
        <w:pBdr>
          <w:top w:val="nil"/>
          <w:left w:val="nil"/>
          <w:bottom w:val="nil"/>
          <w:right w:val="nil"/>
          <w:between w:val="nil"/>
        </w:pBdr>
        <w:spacing w:after="0" w:line="240" w:lineRule="auto"/>
        <w:ind w:left="720"/>
        <w:rPr>
          <w:rFonts w:ascii="Tahoma" w:eastAsia="Tahoma" w:hAnsi="Tahoma" w:cs="Tahoma"/>
          <w:color w:val="000000"/>
        </w:rPr>
      </w:pPr>
      <w:r>
        <w:rPr>
          <w:rFonts w:ascii="Tahoma" w:eastAsia="Tahoma" w:hAnsi="Tahoma" w:cs="Tahoma"/>
          <w:color w:val="000000"/>
        </w:rPr>
        <w:t xml:space="preserve">Meetings shall be held at least once a year. A quorum will comprise of majority of the members of the Committee. Voting on Committee matters shall be on one member – one vote basis.  Majority vote of all members present shall constitute an official action of the Committee.  </w:t>
      </w:r>
    </w:p>
    <w:p w14:paraId="7004B17A" w14:textId="77777777" w:rsidR="001E7DBD" w:rsidRDefault="001E7DBD">
      <w:pPr>
        <w:spacing w:after="0" w:line="240" w:lineRule="auto"/>
        <w:rPr>
          <w:rFonts w:ascii="Tahoma" w:eastAsia="Tahoma" w:hAnsi="Tahoma" w:cs="Tahoma"/>
        </w:rPr>
      </w:pPr>
    </w:p>
    <w:p w14:paraId="7F1978BF" w14:textId="77777777" w:rsidR="001E7DBD" w:rsidRDefault="00000000">
      <w:pPr>
        <w:numPr>
          <w:ilvl w:val="0"/>
          <w:numId w:val="1"/>
        </w:numPr>
        <w:pBdr>
          <w:top w:val="nil"/>
          <w:left w:val="nil"/>
          <w:bottom w:val="nil"/>
          <w:right w:val="nil"/>
          <w:between w:val="nil"/>
        </w:pBdr>
        <w:spacing w:after="0" w:line="240" w:lineRule="auto"/>
        <w:rPr>
          <w:rFonts w:ascii="Tahoma" w:eastAsia="Tahoma" w:hAnsi="Tahoma" w:cs="Tahoma"/>
          <w:b/>
          <w:color w:val="000000"/>
        </w:rPr>
      </w:pPr>
      <w:r>
        <w:rPr>
          <w:rFonts w:ascii="Tahoma" w:eastAsia="Tahoma" w:hAnsi="Tahoma" w:cs="Tahoma"/>
          <w:b/>
          <w:color w:val="000000"/>
        </w:rPr>
        <w:t>Duties</w:t>
      </w:r>
    </w:p>
    <w:p w14:paraId="0F3A3917" w14:textId="77777777" w:rsidR="001E7DBD" w:rsidRDefault="001E7DBD">
      <w:pPr>
        <w:spacing w:after="0" w:line="240" w:lineRule="auto"/>
        <w:rPr>
          <w:rFonts w:ascii="Tahoma" w:eastAsia="Tahoma" w:hAnsi="Tahoma" w:cs="Tahoma"/>
        </w:rPr>
      </w:pPr>
    </w:p>
    <w:p w14:paraId="47ACEB04" w14:textId="77777777" w:rsidR="001E7DBD" w:rsidRDefault="00000000">
      <w:pPr>
        <w:spacing w:after="0" w:line="240" w:lineRule="auto"/>
        <w:rPr>
          <w:rFonts w:ascii="Tahoma" w:eastAsia="Tahoma" w:hAnsi="Tahoma" w:cs="Tahoma"/>
        </w:rPr>
      </w:pPr>
      <w:r>
        <w:rPr>
          <w:rFonts w:ascii="Tahoma" w:eastAsia="Tahoma" w:hAnsi="Tahoma" w:cs="Tahoma"/>
        </w:rPr>
        <w:tab/>
        <w:t>The Committee shall have the following duties and responsibilities:</w:t>
      </w:r>
    </w:p>
    <w:p w14:paraId="4FC0D31E" w14:textId="77777777" w:rsidR="001E7DBD" w:rsidRDefault="001E7DBD">
      <w:pPr>
        <w:spacing w:after="0" w:line="240" w:lineRule="auto"/>
        <w:jc w:val="both"/>
        <w:rPr>
          <w:rFonts w:ascii="Arial" w:eastAsia="Arial" w:hAnsi="Arial" w:cs="Arial"/>
        </w:rPr>
      </w:pPr>
    </w:p>
    <w:p w14:paraId="336FF77F" w14:textId="77777777" w:rsidR="001E7DBD" w:rsidRDefault="00000000">
      <w:pPr>
        <w:numPr>
          <w:ilvl w:val="0"/>
          <w:numId w:val="2"/>
        </w:numPr>
        <w:pBdr>
          <w:top w:val="nil"/>
          <w:left w:val="nil"/>
          <w:bottom w:val="nil"/>
          <w:right w:val="nil"/>
          <w:between w:val="nil"/>
        </w:pBdr>
        <w:spacing w:after="0" w:line="240" w:lineRule="auto"/>
        <w:ind w:left="1107" w:right="360"/>
        <w:jc w:val="both"/>
        <w:rPr>
          <w:rFonts w:ascii="Arial" w:eastAsia="Arial" w:hAnsi="Arial" w:cs="Arial"/>
          <w:color w:val="000000"/>
        </w:rPr>
      </w:pPr>
      <w:r>
        <w:rPr>
          <w:rFonts w:ascii="Arial" w:eastAsia="Arial" w:hAnsi="Arial" w:cs="Arial"/>
          <w:color w:val="000000"/>
        </w:rPr>
        <w:t xml:space="preserve">Develops a formal enterprise risk management plan which contains the following elements: (a) common language or register of risks, (b) well-defined risk management goals, objectives and oversight, (c) uniform processes of assessing risks and developing strategies to manage prioritized risks, (d) designing and implementing risk management strategies, and (e) continuing assessments to improve risk strategies, processes and </w:t>
      </w:r>
      <w:proofErr w:type="gramStart"/>
      <w:r>
        <w:rPr>
          <w:rFonts w:ascii="Arial" w:eastAsia="Arial" w:hAnsi="Arial" w:cs="Arial"/>
          <w:color w:val="000000"/>
        </w:rPr>
        <w:t>measures;</w:t>
      </w:r>
      <w:proofErr w:type="gramEnd"/>
    </w:p>
    <w:p w14:paraId="6976958E" w14:textId="77777777" w:rsidR="001E7DBD" w:rsidRDefault="001E7DBD">
      <w:pPr>
        <w:pBdr>
          <w:top w:val="nil"/>
          <w:left w:val="nil"/>
          <w:bottom w:val="nil"/>
          <w:right w:val="nil"/>
          <w:between w:val="nil"/>
        </w:pBdr>
        <w:spacing w:after="0" w:line="240" w:lineRule="auto"/>
        <w:ind w:left="1107" w:right="360"/>
        <w:jc w:val="both"/>
        <w:rPr>
          <w:rFonts w:ascii="Arial" w:eastAsia="Arial" w:hAnsi="Arial" w:cs="Arial"/>
          <w:color w:val="000000"/>
        </w:rPr>
      </w:pPr>
    </w:p>
    <w:p w14:paraId="0554614D" w14:textId="77777777" w:rsidR="001E7DBD" w:rsidRDefault="00000000">
      <w:pPr>
        <w:numPr>
          <w:ilvl w:val="0"/>
          <w:numId w:val="2"/>
        </w:numPr>
        <w:pBdr>
          <w:top w:val="nil"/>
          <w:left w:val="nil"/>
          <w:bottom w:val="nil"/>
          <w:right w:val="nil"/>
          <w:between w:val="nil"/>
        </w:pBdr>
        <w:spacing w:after="0" w:line="240" w:lineRule="auto"/>
        <w:ind w:left="1107" w:right="360"/>
        <w:jc w:val="both"/>
        <w:rPr>
          <w:rFonts w:ascii="Arial" w:eastAsia="Arial" w:hAnsi="Arial" w:cs="Arial"/>
          <w:color w:val="000000"/>
        </w:rPr>
      </w:pPr>
      <w:r>
        <w:rPr>
          <w:rFonts w:ascii="Arial" w:eastAsia="Arial" w:hAnsi="Arial" w:cs="Arial"/>
          <w:color w:val="000000"/>
        </w:rPr>
        <w:t xml:space="preserve">Oversees the implementation of the enterprise risk management plan through a Management Risk Oversight Committee. The BROC conducts regular discussions on the Company’s prioritized and residual risk exposures based on regular risk management reports and assesses how the concerned units or offices are addressing and managing these </w:t>
      </w:r>
      <w:proofErr w:type="gramStart"/>
      <w:r>
        <w:rPr>
          <w:rFonts w:ascii="Arial" w:eastAsia="Arial" w:hAnsi="Arial" w:cs="Arial"/>
          <w:color w:val="000000"/>
        </w:rPr>
        <w:t>risks;</w:t>
      </w:r>
      <w:proofErr w:type="gramEnd"/>
    </w:p>
    <w:p w14:paraId="11256BFE" w14:textId="77777777" w:rsidR="001E7DBD" w:rsidRDefault="001E7DBD">
      <w:pPr>
        <w:pBdr>
          <w:top w:val="nil"/>
          <w:left w:val="nil"/>
          <w:bottom w:val="nil"/>
          <w:right w:val="nil"/>
          <w:between w:val="nil"/>
        </w:pBdr>
        <w:spacing w:after="0" w:line="240" w:lineRule="auto"/>
        <w:ind w:left="1107" w:right="360"/>
        <w:jc w:val="both"/>
        <w:rPr>
          <w:rFonts w:ascii="Arial" w:eastAsia="Arial" w:hAnsi="Arial" w:cs="Arial"/>
          <w:color w:val="000000"/>
        </w:rPr>
      </w:pPr>
    </w:p>
    <w:p w14:paraId="63AC9868" w14:textId="77777777" w:rsidR="001E7DBD" w:rsidRDefault="00000000">
      <w:pPr>
        <w:numPr>
          <w:ilvl w:val="0"/>
          <w:numId w:val="2"/>
        </w:numPr>
        <w:pBdr>
          <w:top w:val="nil"/>
          <w:left w:val="nil"/>
          <w:bottom w:val="nil"/>
          <w:right w:val="nil"/>
          <w:between w:val="nil"/>
        </w:pBdr>
        <w:spacing w:after="0" w:line="240" w:lineRule="auto"/>
        <w:ind w:left="1107" w:right="360"/>
        <w:jc w:val="both"/>
        <w:rPr>
          <w:rFonts w:ascii="Arial" w:eastAsia="Arial" w:hAnsi="Arial" w:cs="Arial"/>
          <w:color w:val="000000"/>
        </w:rPr>
      </w:pPr>
      <w:r>
        <w:rPr>
          <w:rFonts w:ascii="Arial" w:eastAsia="Arial" w:hAnsi="Arial" w:cs="Arial"/>
          <w:color w:val="000000"/>
        </w:rPr>
        <w:t xml:space="preserve">Evaluates the risk management plan to ensure its continued relevance, </w:t>
      </w:r>
      <w:proofErr w:type="gramStart"/>
      <w:r>
        <w:rPr>
          <w:rFonts w:ascii="Arial" w:eastAsia="Arial" w:hAnsi="Arial" w:cs="Arial"/>
          <w:color w:val="000000"/>
        </w:rPr>
        <w:t>comprehensiveness</w:t>
      </w:r>
      <w:proofErr w:type="gramEnd"/>
      <w:r>
        <w:rPr>
          <w:rFonts w:ascii="Arial" w:eastAsia="Arial" w:hAnsi="Arial" w:cs="Arial"/>
          <w:color w:val="000000"/>
        </w:rPr>
        <w:t xml:space="preserve"> and effectiveness. The BROC revisits defined risk management strategies, looks for emerging or changing material exposures, and stays abreast of significant developments that seriously impact the likelihood of harm or </w:t>
      </w:r>
      <w:proofErr w:type="gramStart"/>
      <w:r>
        <w:rPr>
          <w:rFonts w:ascii="Arial" w:eastAsia="Arial" w:hAnsi="Arial" w:cs="Arial"/>
          <w:color w:val="000000"/>
        </w:rPr>
        <w:t>loss;</w:t>
      </w:r>
      <w:proofErr w:type="gramEnd"/>
    </w:p>
    <w:p w14:paraId="6F5FC344" w14:textId="77777777" w:rsidR="001E7DBD" w:rsidRDefault="001E7DBD">
      <w:pPr>
        <w:pBdr>
          <w:top w:val="nil"/>
          <w:left w:val="nil"/>
          <w:bottom w:val="nil"/>
          <w:right w:val="nil"/>
          <w:between w:val="nil"/>
        </w:pBdr>
        <w:spacing w:after="0" w:line="240" w:lineRule="auto"/>
        <w:ind w:left="1107" w:right="360"/>
        <w:jc w:val="both"/>
        <w:rPr>
          <w:rFonts w:ascii="Arial" w:eastAsia="Arial" w:hAnsi="Arial" w:cs="Arial"/>
          <w:color w:val="000000"/>
        </w:rPr>
      </w:pPr>
    </w:p>
    <w:p w14:paraId="47D300B6" w14:textId="77777777" w:rsidR="001E7DBD" w:rsidRDefault="00000000">
      <w:pPr>
        <w:numPr>
          <w:ilvl w:val="0"/>
          <w:numId w:val="2"/>
        </w:numPr>
        <w:pBdr>
          <w:top w:val="nil"/>
          <w:left w:val="nil"/>
          <w:bottom w:val="nil"/>
          <w:right w:val="nil"/>
          <w:between w:val="nil"/>
        </w:pBdr>
        <w:spacing w:after="0" w:line="240" w:lineRule="auto"/>
        <w:ind w:left="1107" w:right="360"/>
        <w:jc w:val="both"/>
        <w:rPr>
          <w:rFonts w:ascii="Arial" w:eastAsia="Arial" w:hAnsi="Arial" w:cs="Arial"/>
          <w:color w:val="000000"/>
        </w:rPr>
      </w:pPr>
      <w:r>
        <w:rPr>
          <w:rFonts w:ascii="Arial" w:eastAsia="Arial" w:hAnsi="Arial" w:cs="Arial"/>
          <w:color w:val="000000"/>
        </w:rPr>
        <w:t xml:space="preserve">Advises the Board on its risk appetite levels and risk tolerance </w:t>
      </w:r>
      <w:proofErr w:type="gramStart"/>
      <w:r>
        <w:rPr>
          <w:rFonts w:ascii="Arial" w:eastAsia="Arial" w:hAnsi="Arial" w:cs="Arial"/>
          <w:color w:val="000000"/>
        </w:rPr>
        <w:t>limits;</w:t>
      </w:r>
      <w:proofErr w:type="gramEnd"/>
    </w:p>
    <w:p w14:paraId="04CF2D72" w14:textId="77777777" w:rsidR="001E7DBD" w:rsidRDefault="001E7DBD">
      <w:pPr>
        <w:pBdr>
          <w:top w:val="nil"/>
          <w:left w:val="nil"/>
          <w:bottom w:val="nil"/>
          <w:right w:val="nil"/>
          <w:between w:val="nil"/>
        </w:pBdr>
        <w:spacing w:after="0" w:line="240" w:lineRule="auto"/>
        <w:ind w:left="1107" w:right="360"/>
        <w:jc w:val="both"/>
        <w:rPr>
          <w:rFonts w:ascii="Arial" w:eastAsia="Arial" w:hAnsi="Arial" w:cs="Arial"/>
          <w:color w:val="000000"/>
        </w:rPr>
      </w:pPr>
    </w:p>
    <w:p w14:paraId="1B0F3466" w14:textId="77777777" w:rsidR="001E7DBD" w:rsidRDefault="00000000">
      <w:pPr>
        <w:numPr>
          <w:ilvl w:val="0"/>
          <w:numId w:val="2"/>
        </w:numPr>
        <w:pBdr>
          <w:top w:val="nil"/>
          <w:left w:val="nil"/>
          <w:bottom w:val="nil"/>
          <w:right w:val="nil"/>
          <w:between w:val="nil"/>
        </w:pBdr>
        <w:spacing w:after="0" w:line="240" w:lineRule="auto"/>
        <w:ind w:left="1107" w:right="360"/>
        <w:jc w:val="both"/>
        <w:rPr>
          <w:rFonts w:ascii="Arial" w:eastAsia="Arial" w:hAnsi="Arial" w:cs="Arial"/>
          <w:color w:val="000000"/>
        </w:rPr>
      </w:pPr>
      <w:r>
        <w:rPr>
          <w:rFonts w:ascii="Arial" w:eastAsia="Arial" w:hAnsi="Arial" w:cs="Arial"/>
          <w:color w:val="000000"/>
        </w:rPr>
        <w:lastRenderedPageBreak/>
        <w:t xml:space="preserve">Reviews at least annually the Company’s risk appetite levels and risk tolerance limits based on changes and developments in the business, the regulatory framework, the external economic and business environment, and when major events occur that are considered to have major impacts on the </w:t>
      </w:r>
      <w:proofErr w:type="gramStart"/>
      <w:r>
        <w:rPr>
          <w:rFonts w:ascii="Arial" w:eastAsia="Arial" w:hAnsi="Arial" w:cs="Arial"/>
          <w:color w:val="000000"/>
        </w:rPr>
        <w:t>Company;</w:t>
      </w:r>
      <w:proofErr w:type="gramEnd"/>
    </w:p>
    <w:p w14:paraId="3159F98F" w14:textId="77777777" w:rsidR="001E7DBD" w:rsidRDefault="001E7DBD">
      <w:pPr>
        <w:pBdr>
          <w:top w:val="nil"/>
          <w:left w:val="nil"/>
          <w:bottom w:val="nil"/>
          <w:right w:val="nil"/>
          <w:between w:val="nil"/>
        </w:pBdr>
        <w:spacing w:after="0" w:line="240" w:lineRule="auto"/>
        <w:ind w:left="1107" w:right="360"/>
        <w:jc w:val="both"/>
        <w:rPr>
          <w:rFonts w:ascii="Arial" w:eastAsia="Arial" w:hAnsi="Arial" w:cs="Arial"/>
          <w:color w:val="000000"/>
        </w:rPr>
      </w:pPr>
    </w:p>
    <w:p w14:paraId="63C7A7E2" w14:textId="77777777" w:rsidR="001E7DBD" w:rsidRDefault="00000000">
      <w:pPr>
        <w:numPr>
          <w:ilvl w:val="0"/>
          <w:numId w:val="2"/>
        </w:numPr>
        <w:pBdr>
          <w:top w:val="nil"/>
          <w:left w:val="nil"/>
          <w:bottom w:val="nil"/>
          <w:right w:val="nil"/>
          <w:between w:val="nil"/>
        </w:pBdr>
        <w:spacing w:after="0" w:line="240" w:lineRule="auto"/>
        <w:ind w:left="1107" w:right="360"/>
        <w:jc w:val="both"/>
        <w:rPr>
          <w:rFonts w:ascii="Arial" w:eastAsia="Arial" w:hAnsi="Arial" w:cs="Arial"/>
          <w:color w:val="000000"/>
        </w:rPr>
      </w:pPr>
      <w:r>
        <w:rPr>
          <w:rFonts w:ascii="Arial" w:eastAsia="Arial" w:hAnsi="Arial" w:cs="Arial"/>
          <w:color w:val="000000"/>
        </w:rPr>
        <w:t xml:space="preserve">Assesses the probability of each identified risk becoming a reality and estimates its possible significant financial impact and likelihood of occurrence. Priority areas of concern are those risks that are the most likely to occur and to impact the performance and stability of the Corporation and its </w:t>
      </w:r>
      <w:proofErr w:type="gramStart"/>
      <w:r>
        <w:rPr>
          <w:rFonts w:ascii="Arial" w:eastAsia="Arial" w:hAnsi="Arial" w:cs="Arial"/>
          <w:color w:val="000000"/>
        </w:rPr>
        <w:t>stakeholders;</w:t>
      </w:r>
      <w:proofErr w:type="gramEnd"/>
    </w:p>
    <w:p w14:paraId="7D806722" w14:textId="77777777" w:rsidR="001E7DBD" w:rsidRDefault="001E7DBD">
      <w:pPr>
        <w:pBdr>
          <w:top w:val="nil"/>
          <w:left w:val="nil"/>
          <w:bottom w:val="nil"/>
          <w:right w:val="nil"/>
          <w:between w:val="nil"/>
        </w:pBdr>
        <w:spacing w:after="0" w:line="240" w:lineRule="auto"/>
        <w:ind w:left="1107" w:right="360"/>
        <w:jc w:val="both"/>
        <w:rPr>
          <w:rFonts w:ascii="Arial" w:eastAsia="Arial" w:hAnsi="Arial" w:cs="Arial"/>
          <w:color w:val="000000"/>
        </w:rPr>
      </w:pPr>
    </w:p>
    <w:p w14:paraId="420181FB" w14:textId="77777777" w:rsidR="001E7DBD" w:rsidRDefault="00000000">
      <w:pPr>
        <w:numPr>
          <w:ilvl w:val="0"/>
          <w:numId w:val="2"/>
        </w:numPr>
        <w:pBdr>
          <w:top w:val="nil"/>
          <w:left w:val="nil"/>
          <w:bottom w:val="nil"/>
          <w:right w:val="nil"/>
          <w:between w:val="nil"/>
        </w:pBdr>
        <w:spacing w:after="0" w:line="240" w:lineRule="auto"/>
        <w:ind w:left="1107" w:right="360"/>
        <w:jc w:val="both"/>
        <w:rPr>
          <w:rFonts w:ascii="Arial" w:eastAsia="Arial" w:hAnsi="Arial" w:cs="Arial"/>
          <w:color w:val="000000"/>
        </w:rPr>
      </w:pPr>
      <w:r>
        <w:rPr>
          <w:rFonts w:ascii="Arial" w:eastAsia="Arial" w:hAnsi="Arial" w:cs="Arial"/>
          <w:color w:val="000000"/>
        </w:rPr>
        <w:t xml:space="preserve">Provides oversight over Management’s activities in managing credit, market, liquidity, operational, </w:t>
      </w:r>
      <w:proofErr w:type="gramStart"/>
      <w:r>
        <w:rPr>
          <w:rFonts w:ascii="Arial" w:eastAsia="Arial" w:hAnsi="Arial" w:cs="Arial"/>
          <w:color w:val="000000"/>
        </w:rPr>
        <w:t>legal</w:t>
      </w:r>
      <w:proofErr w:type="gramEnd"/>
      <w:r>
        <w:rPr>
          <w:rFonts w:ascii="Arial" w:eastAsia="Arial" w:hAnsi="Arial" w:cs="Arial"/>
          <w:color w:val="000000"/>
        </w:rPr>
        <w:t xml:space="preserve"> and other risk exposures of the Corporation. This function includes regularly receiving information on risk exposures and risk management activities from </w:t>
      </w:r>
      <w:proofErr w:type="gramStart"/>
      <w:r>
        <w:rPr>
          <w:rFonts w:ascii="Arial" w:eastAsia="Arial" w:hAnsi="Arial" w:cs="Arial"/>
          <w:color w:val="000000"/>
        </w:rPr>
        <w:t>Management;</w:t>
      </w:r>
      <w:proofErr w:type="gramEnd"/>
    </w:p>
    <w:p w14:paraId="4EE4531F" w14:textId="77777777" w:rsidR="001E7DBD" w:rsidRDefault="001E7DBD">
      <w:pPr>
        <w:pBdr>
          <w:top w:val="nil"/>
          <w:left w:val="nil"/>
          <w:bottom w:val="nil"/>
          <w:right w:val="nil"/>
          <w:between w:val="nil"/>
        </w:pBdr>
        <w:spacing w:after="0" w:line="240" w:lineRule="auto"/>
        <w:ind w:left="1107" w:right="360"/>
        <w:jc w:val="both"/>
        <w:rPr>
          <w:rFonts w:ascii="Arial" w:eastAsia="Arial" w:hAnsi="Arial" w:cs="Arial"/>
          <w:color w:val="000000"/>
        </w:rPr>
      </w:pPr>
    </w:p>
    <w:p w14:paraId="2855BD68" w14:textId="77777777" w:rsidR="001E7DBD" w:rsidRDefault="00000000">
      <w:pPr>
        <w:numPr>
          <w:ilvl w:val="0"/>
          <w:numId w:val="2"/>
        </w:numPr>
        <w:pBdr>
          <w:top w:val="nil"/>
          <w:left w:val="nil"/>
          <w:bottom w:val="nil"/>
          <w:right w:val="nil"/>
          <w:between w:val="nil"/>
        </w:pBdr>
        <w:spacing w:after="0" w:line="240" w:lineRule="auto"/>
        <w:ind w:left="1107" w:right="360"/>
        <w:jc w:val="both"/>
        <w:rPr>
          <w:rFonts w:ascii="Arial" w:eastAsia="Arial" w:hAnsi="Arial" w:cs="Arial"/>
          <w:color w:val="000000"/>
        </w:rPr>
      </w:pPr>
      <w:r>
        <w:rPr>
          <w:rFonts w:ascii="Arial" w:eastAsia="Arial" w:hAnsi="Arial" w:cs="Arial"/>
          <w:color w:val="000000"/>
        </w:rPr>
        <w:t>Reports to the Board on a regular basis, or as deemed necessary, the Company’s material risk exposures, the actions taken to reduce the risks, and recommends further action or plans, as necessary; and</w:t>
      </w:r>
    </w:p>
    <w:p w14:paraId="7C4FFCE5" w14:textId="77777777" w:rsidR="001E7DBD" w:rsidRDefault="001E7DBD">
      <w:pPr>
        <w:pBdr>
          <w:top w:val="nil"/>
          <w:left w:val="nil"/>
          <w:bottom w:val="nil"/>
          <w:right w:val="nil"/>
          <w:between w:val="nil"/>
        </w:pBdr>
        <w:spacing w:after="0" w:line="240" w:lineRule="auto"/>
        <w:ind w:left="1107" w:right="360"/>
        <w:jc w:val="both"/>
        <w:rPr>
          <w:rFonts w:ascii="Arial" w:eastAsia="Arial" w:hAnsi="Arial" w:cs="Arial"/>
          <w:color w:val="000000"/>
        </w:rPr>
      </w:pPr>
    </w:p>
    <w:p w14:paraId="23A5CD49" w14:textId="77777777" w:rsidR="001E7DBD" w:rsidRDefault="00000000">
      <w:pPr>
        <w:numPr>
          <w:ilvl w:val="0"/>
          <w:numId w:val="2"/>
        </w:numPr>
        <w:pBdr>
          <w:top w:val="nil"/>
          <w:left w:val="nil"/>
          <w:bottom w:val="nil"/>
          <w:right w:val="nil"/>
          <w:between w:val="nil"/>
        </w:pBdr>
        <w:spacing w:after="0" w:line="240" w:lineRule="auto"/>
        <w:ind w:left="1107" w:right="360"/>
        <w:jc w:val="both"/>
        <w:rPr>
          <w:rFonts w:ascii="Arial" w:eastAsia="Arial" w:hAnsi="Arial" w:cs="Arial"/>
          <w:color w:val="000000"/>
        </w:rPr>
      </w:pPr>
      <w:r>
        <w:rPr>
          <w:rFonts w:ascii="Arial" w:eastAsia="Arial" w:hAnsi="Arial" w:cs="Arial"/>
          <w:color w:val="000000"/>
        </w:rPr>
        <w:t>Performs other duties and responsibilities as the Committee may deem appropriate within the scope of its primary functions or as may be assigned by the Board.</w:t>
      </w:r>
    </w:p>
    <w:p w14:paraId="2AC1392C" w14:textId="77777777" w:rsidR="001E7DBD" w:rsidRDefault="001E7DBD">
      <w:pPr>
        <w:pBdr>
          <w:top w:val="nil"/>
          <w:left w:val="nil"/>
          <w:bottom w:val="nil"/>
          <w:right w:val="nil"/>
          <w:between w:val="nil"/>
        </w:pBdr>
        <w:spacing w:after="0" w:line="240" w:lineRule="auto"/>
        <w:ind w:left="1064"/>
        <w:rPr>
          <w:rFonts w:ascii="Tahoma" w:eastAsia="Tahoma" w:hAnsi="Tahoma" w:cs="Tahoma"/>
          <w:color w:val="000000"/>
        </w:rPr>
      </w:pPr>
    </w:p>
    <w:p w14:paraId="51BB03AE" w14:textId="77777777" w:rsidR="001E7DBD" w:rsidRDefault="00000000">
      <w:pPr>
        <w:numPr>
          <w:ilvl w:val="0"/>
          <w:numId w:val="1"/>
        </w:numPr>
        <w:pBdr>
          <w:top w:val="nil"/>
          <w:left w:val="nil"/>
          <w:bottom w:val="nil"/>
          <w:right w:val="nil"/>
          <w:between w:val="nil"/>
        </w:pBdr>
        <w:spacing w:after="0" w:line="240" w:lineRule="auto"/>
        <w:rPr>
          <w:rFonts w:ascii="Tahoma" w:eastAsia="Tahoma" w:hAnsi="Tahoma" w:cs="Tahoma"/>
          <w:b/>
          <w:color w:val="000000"/>
        </w:rPr>
      </w:pPr>
      <w:r>
        <w:rPr>
          <w:rFonts w:ascii="Tahoma" w:eastAsia="Tahoma" w:hAnsi="Tahoma" w:cs="Tahoma"/>
          <w:b/>
          <w:color w:val="000000"/>
        </w:rPr>
        <w:t>Effectivity</w:t>
      </w:r>
    </w:p>
    <w:p w14:paraId="0E891AFB" w14:textId="77777777" w:rsidR="001E7DBD" w:rsidRDefault="001E7DBD">
      <w:pPr>
        <w:pBdr>
          <w:top w:val="nil"/>
          <w:left w:val="nil"/>
          <w:bottom w:val="nil"/>
          <w:right w:val="nil"/>
          <w:between w:val="nil"/>
        </w:pBdr>
        <w:spacing w:after="0" w:line="240" w:lineRule="auto"/>
        <w:ind w:left="720"/>
        <w:rPr>
          <w:rFonts w:ascii="Tahoma" w:eastAsia="Tahoma" w:hAnsi="Tahoma" w:cs="Tahoma"/>
          <w:color w:val="000000"/>
        </w:rPr>
      </w:pPr>
    </w:p>
    <w:p w14:paraId="3CDCD0D2" w14:textId="77777777" w:rsidR="001E7DBD" w:rsidRDefault="00000000">
      <w:pPr>
        <w:pBdr>
          <w:top w:val="nil"/>
          <w:left w:val="nil"/>
          <w:bottom w:val="nil"/>
          <w:right w:val="nil"/>
          <w:between w:val="nil"/>
        </w:pBdr>
        <w:spacing w:after="0" w:line="240" w:lineRule="auto"/>
        <w:ind w:left="720"/>
        <w:rPr>
          <w:rFonts w:ascii="Tahoma" w:eastAsia="Tahoma" w:hAnsi="Tahoma" w:cs="Tahoma"/>
          <w:color w:val="000000"/>
        </w:rPr>
      </w:pPr>
      <w:r>
        <w:rPr>
          <w:rFonts w:ascii="Tahoma" w:eastAsia="Tahoma" w:hAnsi="Tahoma" w:cs="Tahoma"/>
          <w:color w:val="000000"/>
        </w:rPr>
        <w:t>This Charter, as amended, shall take effect when approved by the Board.</w:t>
      </w:r>
    </w:p>
    <w:sectPr w:rsidR="001E7DBD">
      <w:headerReference w:type="default" r:id="rId8"/>
      <w:footerReference w:type="default" r:id="rId9"/>
      <w:pgSz w:w="12240" w:h="15840"/>
      <w:pgMar w:top="1442" w:right="720" w:bottom="180" w:left="720" w:header="142" w:footer="5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A30F7" w14:textId="77777777" w:rsidR="002A54FC" w:rsidRDefault="002A54FC">
      <w:pPr>
        <w:spacing w:after="0" w:line="240" w:lineRule="auto"/>
      </w:pPr>
      <w:r>
        <w:separator/>
      </w:r>
    </w:p>
  </w:endnote>
  <w:endnote w:type="continuationSeparator" w:id="0">
    <w:p w14:paraId="1FD6DE69" w14:textId="77777777" w:rsidR="002A54FC" w:rsidRDefault="002A5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77AB" w14:textId="77777777" w:rsidR="001E7DBD" w:rsidRDefault="00000000">
    <w:pPr>
      <w:pBdr>
        <w:top w:val="nil"/>
        <w:left w:val="nil"/>
        <w:bottom w:val="nil"/>
        <w:right w:val="nil"/>
        <w:between w:val="nil"/>
      </w:pBdr>
      <w:tabs>
        <w:tab w:val="center" w:pos="4680"/>
        <w:tab w:val="right" w:pos="9360"/>
      </w:tabs>
      <w:spacing w:after="0" w:line="240" w:lineRule="auto"/>
      <w:jc w:val="center"/>
      <w:rPr>
        <w:rFonts w:cs="Calibri"/>
        <w:b/>
        <w:color w:val="000000"/>
        <w:sz w:val="24"/>
        <w:szCs w:val="24"/>
      </w:rPr>
    </w:pPr>
    <w:r>
      <w:rPr>
        <w:rFonts w:cs="Calibri"/>
        <w:b/>
        <w:color w:val="000000"/>
        <w:sz w:val="24"/>
        <w:szCs w:val="24"/>
      </w:rPr>
      <w:t>BERJAYA PHILIPPINES INC.</w:t>
    </w:r>
  </w:p>
  <w:p w14:paraId="7CBCE12A" w14:textId="77777777" w:rsidR="001E7DBD" w:rsidRDefault="00000000">
    <w:pPr>
      <w:pBdr>
        <w:top w:val="nil"/>
        <w:left w:val="nil"/>
        <w:bottom w:val="nil"/>
        <w:right w:val="nil"/>
        <w:between w:val="nil"/>
      </w:pBdr>
      <w:tabs>
        <w:tab w:val="center" w:pos="4680"/>
        <w:tab w:val="right" w:pos="9360"/>
      </w:tabs>
      <w:spacing w:after="0" w:line="240" w:lineRule="auto"/>
      <w:jc w:val="center"/>
      <w:rPr>
        <w:rFonts w:cs="Calibri"/>
        <w:color w:val="000000"/>
      </w:rPr>
    </w:pPr>
    <w:r>
      <w:rPr>
        <w:rFonts w:cs="Calibri"/>
        <w:color w:val="000000"/>
      </w:rPr>
      <w:t>9/F Rufino Pacific Tower 6784 Ayala Ave., Cor. V.A Rufino St., Makati City</w:t>
    </w:r>
  </w:p>
  <w:p w14:paraId="75171259" w14:textId="77777777" w:rsidR="001E7DBD" w:rsidRDefault="00000000">
    <w:pPr>
      <w:pBdr>
        <w:top w:val="nil"/>
        <w:left w:val="nil"/>
        <w:bottom w:val="nil"/>
        <w:right w:val="nil"/>
        <w:between w:val="nil"/>
      </w:pBdr>
      <w:tabs>
        <w:tab w:val="center" w:pos="4680"/>
        <w:tab w:val="right" w:pos="9360"/>
      </w:tabs>
      <w:spacing w:after="0" w:line="240" w:lineRule="auto"/>
      <w:jc w:val="center"/>
      <w:rPr>
        <w:rFonts w:cs="Calibri"/>
        <w:color w:val="000000"/>
      </w:rPr>
    </w:pPr>
    <w:r>
      <w:rPr>
        <w:rFonts w:cs="Calibri"/>
        <w:color w:val="000000"/>
      </w:rPr>
      <w:t>Tel. No.: (632) 811-0668 * Fax No.: (632) 811-0538</w:t>
    </w:r>
  </w:p>
  <w:p w14:paraId="1127D78C" w14:textId="77777777" w:rsidR="001E7DBD" w:rsidRDefault="001E7DBD">
    <w:pPr>
      <w:pBdr>
        <w:top w:val="nil"/>
        <w:left w:val="nil"/>
        <w:bottom w:val="nil"/>
        <w:right w:val="nil"/>
        <w:between w:val="nil"/>
      </w:pBdr>
      <w:tabs>
        <w:tab w:val="center" w:pos="4680"/>
        <w:tab w:val="right" w:pos="9360"/>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AFBB1" w14:textId="77777777" w:rsidR="002A54FC" w:rsidRDefault="002A54FC">
      <w:pPr>
        <w:spacing w:after="0" w:line="240" w:lineRule="auto"/>
      </w:pPr>
      <w:r>
        <w:separator/>
      </w:r>
    </w:p>
  </w:footnote>
  <w:footnote w:type="continuationSeparator" w:id="0">
    <w:p w14:paraId="358BCC69" w14:textId="77777777" w:rsidR="002A54FC" w:rsidRDefault="002A5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0556" w14:textId="61718E82" w:rsidR="001E7DBD" w:rsidRDefault="006F0EDD">
    <w:pPr>
      <w:pBdr>
        <w:top w:val="nil"/>
        <w:left w:val="nil"/>
        <w:bottom w:val="nil"/>
        <w:right w:val="nil"/>
        <w:between w:val="nil"/>
      </w:pBdr>
      <w:tabs>
        <w:tab w:val="center" w:pos="4680"/>
        <w:tab w:val="right" w:pos="9360"/>
      </w:tabs>
      <w:spacing w:after="0" w:line="240" w:lineRule="auto"/>
      <w:rPr>
        <w:rFonts w:cs="Calibri"/>
        <w:color w:val="000000"/>
      </w:rPr>
    </w:pPr>
    <w:r>
      <w:rPr>
        <w:rFonts w:cs="Calibri"/>
        <w:noProof/>
        <w:color w:val="000000"/>
      </w:rPr>
      <w:drawing>
        <wp:anchor distT="0" distB="0" distL="114300" distR="114300" simplePos="0" relativeHeight="251658240" behindDoc="0" locked="0" layoutInCell="1" allowOverlap="1" wp14:anchorId="0961D258" wp14:editId="7C81DAAD">
          <wp:simplePos x="0" y="0"/>
          <wp:positionH relativeFrom="column">
            <wp:posOffset>2534915</wp:posOffset>
          </wp:positionH>
          <wp:positionV relativeFrom="paragraph">
            <wp:posOffset>-635</wp:posOffset>
          </wp:positionV>
          <wp:extent cx="1722755" cy="115252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22755" cy="1152525"/>
                  </a:xfrm>
                  <a:prstGeom prst="rect">
                    <a:avLst/>
                  </a:prstGeom>
                </pic:spPr>
              </pic:pic>
            </a:graphicData>
          </a:graphic>
          <wp14:sizeRelH relativeFrom="page">
            <wp14:pctWidth>0</wp14:pctWidth>
          </wp14:sizeRelH>
          <wp14:sizeRelV relativeFrom="page">
            <wp14:pctHeight>0</wp14:pctHeight>
          </wp14:sizeRelV>
        </wp:anchor>
      </w:drawing>
    </w:r>
  </w:p>
  <w:p w14:paraId="77888D1B" w14:textId="64A9CEDB" w:rsidR="001E7DBD" w:rsidRDefault="001E7DBD">
    <w:pPr>
      <w:pBdr>
        <w:top w:val="nil"/>
        <w:left w:val="nil"/>
        <w:bottom w:val="nil"/>
        <w:right w:val="nil"/>
        <w:between w:val="nil"/>
      </w:pBdr>
      <w:tabs>
        <w:tab w:val="center" w:pos="4680"/>
        <w:tab w:val="right" w:pos="9360"/>
      </w:tabs>
      <w:spacing w:after="0" w:line="240" w:lineRule="auto"/>
      <w:rPr>
        <w:rFonts w:cs="Calibri"/>
        <w:color w:val="000000"/>
      </w:rPr>
    </w:pPr>
  </w:p>
  <w:p w14:paraId="4C9A2EFB" w14:textId="6100B879" w:rsidR="001E7DBD" w:rsidRDefault="001E7DBD">
    <w:pPr>
      <w:pBdr>
        <w:top w:val="nil"/>
        <w:left w:val="nil"/>
        <w:bottom w:val="nil"/>
        <w:right w:val="nil"/>
        <w:between w:val="nil"/>
      </w:pBdr>
      <w:tabs>
        <w:tab w:val="center" w:pos="4680"/>
        <w:tab w:val="right" w:pos="9360"/>
      </w:tabs>
      <w:spacing w:after="0" w:line="240" w:lineRule="auto"/>
      <w:rPr>
        <w:rFonts w:cs="Calibri"/>
        <w:color w:val="000000"/>
      </w:rPr>
    </w:pPr>
  </w:p>
  <w:p w14:paraId="52093BDC" w14:textId="77DBC823" w:rsidR="001E7DBD" w:rsidRDefault="001E7DBD">
    <w:pPr>
      <w:pBdr>
        <w:top w:val="nil"/>
        <w:left w:val="nil"/>
        <w:bottom w:val="nil"/>
        <w:right w:val="nil"/>
        <w:between w:val="nil"/>
      </w:pBdr>
      <w:tabs>
        <w:tab w:val="center" w:pos="4680"/>
        <w:tab w:val="right" w:pos="9360"/>
      </w:tabs>
      <w:spacing w:after="0" w:line="240" w:lineRule="auto"/>
      <w:rPr>
        <w:rFonts w:cs="Calibri"/>
        <w:color w:val="000000"/>
      </w:rPr>
    </w:pPr>
  </w:p>
  <w:p w14:paraId="474A373F" w14:textId="77777777" w:rsidR="001E7DBD" w:rsidRDefault="001E7DBD">
    <w:pPr>
      <w:pBdr>
        <w:top w:val="nil"/>
        <w:left w:val="nil"/>
        <w:bottom w:val="nil"/>
        <w:right w:val="nil"/>
        <w:between w:val="nil"/>
      </w:pBdr>
      <w:tabs>
        <w:tab w:val="center" w:pos="4680"/>
        <w:tab w:val="right" w:pos="9360"/>
      </w:tabs>
      <w:spacing w:after="0" w:line="240" w:lineRule="auto"/>
      <w:rPr>
        <w:rFonts w:cs="Calibri"/>
        <w:color w:val="000000"/>
      </w:rPr>
    </w:pPr>
  </w:p>
  <w:p w14:paraId="05363AF1" w14:textId="77777777" w:rsidR="001E7DBD" w:rsidRDefault="001E7DBD">
    <w:pPr>
      <w:pBdr>
        <w:top w:val="nil"/>
        <w:left w:val="nil"/>
        <w:bottom w:val="nil"/>
        <w:right w:val="nil"/>
        <w:between w:val="nil"/>
      </w:pBdr>
      <w:tabs>
        <w:tab w:val="center" w:pos="4680"/>
        <w:tab w:val="right" w:pos="9360"/>
      </w:tabs>
      <w:spacing w:after="0" w:line="240" w:lineRule="auto"/>
      <w:rPr>
        <w:rFonts w:cs="Calibri"/>
        <w:color w:val="000000"/>
      </w:rPr>
    </w:pPr>
  </w:p>
  <w:p w14:paraId="0C7FD4DE" w14:textId="77777777" w:rsidR="001E7DBD" w:rsidRDefault="001E7DBD">
    <w:pPr>
      <w:pBdr>
        <w:top w:val="nil"/>
        <w:left w:val="nil"/>
        <w:bottom w:val="nil"/>
        <w:right w:val="nil"/>
        <w:between w:val="nil"/>
      </w:pBdr>
      <w:tabs>
        <w:tab w:val="center" w:pos="4680"/>
        <w:tab w:val="right" w:pos="9360"/>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854DD"/>
    <w:multiLevelType w:val="multilevel"/>
    <w:tmpl w:val="BC50D1D4"/>
    <w:lvl w:ilvl="0">
      <w:start w:val="1"/>
      <w:numFmt w:val="lowerLetter"/>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6EC1C5F"/>
    <w:multiLevelType w:val="multilevel"/>
    <w:tmpl w:val="1AE2C2A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80178043">
    <w:abstractNumId w:val="1"/>
  </w:num>
  <w:num w:numId="2" w16cid:durableId="1024939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DBD"/>
    <w:rsid w:val="001E7DBD"/>
    <w:rsid w:val="002A54FC"/>
    <w:rsid w:val="006F0ED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281C4"/>
  <w15:docId w15:val="{26263F05-841F-D240-9DBF-CB53FB78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0D5"/>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46501"/>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46501"/>
  </w:style>
  <w:style w:type="paragraph" w:styleId="Footer">
    <w:name w:val="footer"/>
    <w:basedOn w:val="Normal"/>
    <w:link w:val="FooterChar"/>
    <w:uiPriority w:val="99"/>
    <w:unhideWhenUsed/>
    <w:rsid w:val="00946501"/>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46501"/>
  </w:style>
  <w:style w:type="paragraph" w:styleId="BalloonText">
    <w:name w:val="Balloon Text"/>
    <w:basedOn w:val="Normal"/>
    <w:link w:val="BalloonTextChar"/>
    <w:uiPriority w:val="99"/>
    <w:semiHidden/>
    <w:unhideWhenUsed/>
    <w:rsid w:val="00946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01"/>
    <w:rPr>
      <w:rFonts w:ascii="Tahoma" w:hAnsi="Tahoma" w:cs="Tahoma"/>
      <w:sz w:val="16"/>
      <w:szCs w:val="16"/>
    </w:rPr>
  </w:style>
  <w:style w:type="character" w:styleId="Emphasis">
    <w:name w:val="Emphasis"/>
    <w:basedOn w:val="DefaultParagraphFont"/>
    <w:uiPriority w:val="20"/>
    <w:qFormat/>
    <w:rsid w:val="00DC00D5"/>
    <w:rPr>
      <w:i/>
      <w:iCs/>
    </w:rPr>
  </w:style>
  <w:style w:type="character" w:styleId="Strong">
    <w:name w:val="Strong"/>
    <w:basedOn w:val="DefaultParagraphFont"/>
    <w:uiPriority w:val="22"/>
    <w:qFormat/>
    <w:rsid w:val="00DC00D5"/>
    <w:rPr>
      <w:b/>
      <w:bCs/>
    </w:rPr>
  </w:style>
  <w:style w:type="table" w:styleId="TableGrid">
    <w:name w:val="Table Grid"/>
    <w:basedOn w:val="TableNormal"/>
    <w:uiPriority w:val="59"/>
    <w:rsid w:val="002D42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A4BA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6dOSQlBiei0bgdnj5pteA16lfg==">AMUW2mX4QHLxxuJGOMPQJmYYFfQ1DNHYmvvjyf/emVKGyc+rOEV1lDFr7h4iZlqi5ey9HBLm0xGpnv548HzZ4A+xNfZJe0n5eykRXsOhPJCjqpEEY8W2thQ=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 SIBULO</dc:creator>
  <cp:lastModifiedBy>ra.anneaguilar@outlook.com</cp:lastModifiedBy>
  <cp:revision>2</cp:revision>
  <dcterms:created xsi:type="dcterms:W3CDTF">2022-10-17T05:41:00Z</dcterms:created>
  <dcterms:modified xsi:type="dcterms:W3CDTF">2022-10-17T05:41:00Z</dcterms:modified>
</cp:coreProperties>
</file>